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65EF9" w14:textId="77777777" w:rsidR="002E3CB4" w:rsidRPr="002E3CB4" w:rsidRDefault="002E3CB4" w:rsidP="002E3CB4">
      <w:pPr>
        <w:shd w:val="clear" w:color="auto" w:fill="FFFFFF"/>
        <w:spacing w:after="100" w:afterAutospacing="1"/>
        <w:outlineLvl w:val="1"/>
        <w:rPr>
          <w:rFonts w:ascii="inherit" w:eastAsia="Times New Roman" w:hAnsi="inherit" w:cs="Times New Roman"/>
          <w:color w:val="262626"/>
          <w:sz w:val="36"/>
          <w:szCs w:val="36"/>
        </w:rPr>
      </w:pPr>
      <w:r w:rsidRPr="002E3CB4">
        <w:rPr>
          <w:rFonts w:ascii="inherit" w:eastAsia="Times New Roman" w:hAnsi="inherit" w:cs="Times New Roman"/>
          <w:color w:val="262626"/>
          <w:sz w:val="36"/>
          <w:szCs w:val="36"/>
        </w:rPr>
        <w:br/>
        <w:t>Guide for writing the 3rd paper</w:t>
      </w:r>
    </w:p>
    <w:p w14:paraId="44665B29" w14:textId="77777777" w:rsidR="002E3CB4" w:rsidRPr="002E3CB4" w:rsidRDefault="002E3CB4" w:rsidP="002E3CB4">
      <w:pPr>
        <w:shd w:val="clear" w:color="auto" w:fill="FFFFFF"/>
        <w:spacing w:after="100" w:afterAutospacing="1"/>
        <w:jc w:val="center"/>
        <w:rPr>
          <w:rFonts w:ascii="Helvetica Neue" w:eastAsia="Times New Roman" w:hAnsi="Helvetica Neue" w:cs="Times New Roman"/>
          <w:color w:val="262626"/>
          <w:sz w:val="21"/>
          <w:szCs w:val="21"/>
        </w:rPr>
      </w:pPr>
      <w:r w:rsidRPr="002E3CB4">
        <w:rPr>
          <w:rFonts w:ascii="Helvetica Neue" w:eastAsia="Times New Roman" w:hAnsi="Helvetica Neue" w:cs="Times New Roman"/>
          <w:b/>
          <w:bCs/>
          <w:color w:val="262626"/>
          <w:sz w:val="21"/>
          <w:szCs w:val="21"/>
        </w:rPr>
        <w:t>Guide for writing the 3rd paper</w:t>
      </w:r>
    </w:p>
    <w:p w14:paraId="25C41288"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As you prepare to write the outline and draft of your 3rd paper, you need to make sure you have the content for the body of the essay, and that your position/stance is clear for your thesis.  If you follow the steps below, you can be sure that you are considering all necessary components for the paper.  I will be showing you these steps using the online degree articles you read.  You can apply these steps to whatever set of essays you choose for your paper.</w:t>
      </w:r>
    </w:p>
    <w:p w14:paraId="6E07AEB0"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1) You should </w:t>
      </w:r>
      <w:r w:rsidRPr="002E3CB4">
        <w:rPr>
          <w:rFonts w:ascii="Helvetica Neue" w:eastAsia="Times New Roman" w:hAnsi="Helvetica Neue" w:cs="Times New Roman"/>
          <w:b/>
          <w:bCs/>
          <w:color w:val="262626"/>
          <w:sz w:val="21"/>
          <w:szCs w:val="21"/>
        </w:rPr>
        <w:t>generate a list of main points in each article</w:t>
      </w:r>
      <w:r w:rsidRPr="002E3CB4">
        <w:rPr>
          <w:rFonts w:ascii="Helvetica Neue" w:eastAsia="Times New Roman" w:hAnsi="Helvetica Neue" w:cs="Times New Roman"/>
          <w:color w:val="262626"/>
          <w:sz w:val="21"/>
          <w:szCs w:val="21"/>
        </w:rPr>
        <w:t>.  After you have generated each list, it may be helpful to </w:t>
      </w:r>
      <w:r w:rsidRPr="002E3CB4">
        <w:rPr>
          <w:rFonts w:ascii="Helvetica Neue" w:eastAsia="Times New Roman" w:hAnsi="Helvetica Neue" w:cs="Times New Roman"/>
          <w:b/>
          <w:bCs/>
          <w:color w:val="262626"/>
          <w:sz w:val="21"/>
          <w:szCs w:val="21"/>
        </w:rPr>
        <w:t>read through them until you come across a common idea spoken about in both pieces</w:t>
      </w:r>
      <w:r w:rsidRPr="002E3CB4">
        <w:rPr>
          <w:rFonts w:ascii="Helvetica Neue" w:eastAsia="Times New Roman" w:hAnsi="Helvetica Neue" w:cs="Times New Roman"/>
          <w:color w:val="262626"/>
          <w:sz w:val="21"/>
          <w:szCs w:val="21"/>
        </w:rPr>
        <w:t>.  Visually, it may make sense for you to </w:t>
      </w:r>
      <w:r w:rsidRPr="002E3CB4">
        <w:rPr>
          <w:rFonts w:ascii="Helvetica Neue" w:eastAsia="Times New Roman" w:hAnsi="Helvetica Neue" w:cs="Times New Roman"/>
          <w:b/>
          <w:bCs/>
          <w:color w:val="262626"/>
          <w:sz w:val="21"/>
          <w:szCs w:val="21"/>
        </w:rPr>
        <w:t>create a table to show how the ideas contrast.</w:t>
      </w:r>
      <w:r w:rsidRPr="002E3CB4">
        <w:rPr>
          <w:rFonts w:ascii="Helvetica Neue" w:eastAsia="Times New Roman" w:hAnsi="Helvetica Neue" w:cs="Times New Roman"/>
          <w:color w:val="262626"/>
          <w:sz w:val="21"/>
          <w:szCs w:val="21"/>
        </w:rPr>
        <w:t>  See the example below:</w:t>
      </w:r>
    </w:p>
    <w:tbl>
      <w:tblPr>
        <w:tblW w:w="148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5"/>
        <w:gridCol w:w="6359"/>
        <w:gridCol w:w="6166"/>
      </w:tblGrid>
      <w:tr w:rsidR="002E3CB4" w:rsidRPr="002E3CB4" w14:paraId="37CE6447" w14:textId="77777777" w:rsidTr="002E3CB4">
        <w:tc>
          <w:tcPr>
            <w:tcW w:w="2325" w:type="dxa"/>
            <w:tcBorders>
              <w:top w:val="outset" w:sz="6" w:space="0" w:color="auto"/>
              <w:left w:val="outset" w:sz="6" w:space="0" w:color="auto"/>
              <w:bottom w:val="outset" w:sz="6" w:space="0" w:color="auto"/>
              <w:right w:val="outset" w:sz="6" w:space="0" w:color="auto"/>
            </w:tcBorders>
            <w:shd w:val="clear" w:color="auto" w:fill="auto"/>
            <w:hideMark/>
          </w:tcPr>
          <w:p w14:paraId="37C59A7D" w14:textId="77777777" w:rsidR="002E3CB4" w:rsidRPr="002E3CB4" w:rsidRDefault="002E3CB4" w:rsidP="002E3CB4">
            <w:pPr>
              <w:spacing w:after="100" w:afterAutospacing="1"/>
              <w:jc w:val="center"/>
              <w:rPr>
                <w:rFonts w:eastAsia="Times New Roman" w:cs="Times New Roman"/>
                <w:color w:val="auto"/>
              </w:rPr>
            </w:pPr>
            <w:r w:rsidRPr="002E3CB4">
              <w:rPr>
                <w:rFonts w:eastAsia="Times New Roman" w:cs="Times New Roman"/>
                <w:b/>
                <w:bCs/>
                <w:color w:val="auto"/>
              </w:rPr>
              <w:t>Points of Contrast</w:t>
            </w:r>
          </w:p>
        </w:tc>
        <w:tc>
          <w:tcPr>
            <w:tcW w:w="6375" w:type="dxa"/>
            <w:tcBorders>
              <w:top w:val="outset" w:sz="6" w:space="0" w:color="auto"/>
              <w:left w:val="outset" w:sz="6" w:space="0" w:color="auto"/>
              <w:bottom w:val="outset" w:sz="6" w:space="0" w:color="auto"/>
              <w:right w:val="outset" w:sz="6" w:space="0" w:color="auto"/>
            </w:tcBorders>
            <w:shd w:val="clear" w:color="auto" w:fill="auto"/>
            <w:hideMark/>
          </w:tcPr>
          <w:p w14:paraId="32C46D53"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b/>
                <w:bCs/>
                <w:color w:val="auto"/>
              </w:rPr>
              <w:t>“Point:</w:t>
            </w:r>
            <w:r w:rsidRPr="002E3CB4">
              <w:rPr>
                <w:rFonts w:eastAsia="Times New Roman" w:cs="Times New Roman"/>
                <w:color w:val="auto"/>
              </w:rPr>
              <w:t> Online Degree Programs Offer a   Competitive Edge”</w:t>
            </w:r>
          </w:p>
          <w:p w14:paraId="34A2E0AB" w14:textId="77777777" w:rsidR="002E3CB4" w:rsidRPr="002E3CB4" w:rsidRDefault="002E3CB4" w:rsidP="002E3CB4">
            <w:pPr>
              <w:spacing w:after="100" w:afterAutospacing="1"/>
              <w:jc w:val="center"/>
              <w:rPr>
                <w:rFonts w:eastAsia="Times New Roman" w:cs="Times New Roman"/>
                <w:color w:val="auto"/>
              </w:rPr>
            </w:pPr>
            <w:r w:rsidRPr="002E3CB4">
              <w:rPr>
                <w:rFonts w:eastAsia="Times New Roman" w:cs="Times New Roman"/>
                <w:b/>
                <w:bCs/>
                <w:color w:val="auto"/>
              </w:rPr>
              <w:t> </w:t>
            </w:r>
          </w:p>
        </w:tc>
        <w:tc>
          <w:tcPr>
            <w:tcW w:w="6180" w:type="dxa"/>
            <w:tcBorders>
              <w:top w:val="outset" w:sz="6" w:space="0" w:color="auto"/>
              <w:left w:val="outset" w:sz="6" w:space="0" w:color="auto"/>
              <w:bottom w:val="outset" w:sz="6" w:space="0" w:color="auto"/>
              <w:right w:val="outset" w:sz="6" w:space="0" w:color="auto"/>
            </w:tcBorders>
            <w:shd w:val="clear" w:color="auto" w:fill="auto"/>
            <w:hideMark/>
          </w:tcPr>
          <w:p w14:paraId="6791DFF4"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 “</w:t>
            </w:r>
            <w:r w:rsidRPr="002E3CB4">
              <w:rPr>
                <w:rFonts w:eastAsia="Times New Roman" w:cs="Times New Roman"/>
                <w:b/>
                <w:bCs/>
                <w:color w:val="auto"/>
              </w:rPr>
              <w:t>Counterpoint</w:t>
            </w:r>
            <w:r w:rsidRPr="002E3CB4">
              <w:rPr>
                <w:rFonts w:eastAsia="Times New Roman" w:cs="Times New Roman"/>
                <w:color w:val="auto"/>
              </w:rPr>
              <w:t>: Online Degree Programs   are Inferior to Traditional Forms of Higher Education.”</w:t>
            </w:r>
          </w:p>
          <w:p w14:paraId="624979B1" w14:textId="77777777" w:rsidR="002E3CB4" w:rsidRPr="002E3CB4" w:rsidRDefault="002E3CB4" w:rsidP="002E3CB4">
            <w:pPr>
              <w:spacing w:after="100" w:afterAutospacing="1"/>
              <w:jc w:val="center"/>
              <w:rPr>
                <w:rFonts w:eastAsia="Times New Roman" w:cs="Times New Roman"/>
                <w:color w:val="auto"/>
              </w:rPr>
            </w:pPr>
            <w:r w:rsidRPr="002E3CB4">
              <w:rPr>
                <w:rFonts w:eastAsia="Times New Roman" w:cs="Times New Roman"/>
                <w:b/>
                <w:bCs/>
                <w:color w:val="auto"/>
              </w:rPr>
              <w:t> </w:t>
            </w:r>
          </w:p>
        </w:tc>
      </w:tr>
      <w:tr w:rsidR="002E3CB4" w:rsidRPr="002E3CB4" w14:paraId="05733DA1" w14:textId="77777777" w:rsidTr="002E3CB4">
        <w:tc>
          <w:tcPr>
            <w:tcW w:w="2325" w:type="dxa"/>
            <w:tcBorders>
              <w:top w:val="outset" w:sz="6" w:space="0" w:color="auto"/>
              <w:left w:val="outset" w:sz="6" w:space="0" w:color="auto"/>
              <w:bottom w:val="outset" w:sz="6" w:space="0" w:color="auto"/>
              <w:right w:val="outset" w:sz="6" w:space="0" w:color="auto"/>
            </w:tcBorders>
            <w:shd w:val="clear" w:color="auto" w:fill="auto"/>
            <w:hideMark/>
          </w:tcPr>
          <w:p w14:paraId="03E9BDA1"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b/>
                <w:bCs/>
                <w:color w:val="auto"/>
              </w:rPr>
              <w:t>Credibility</w:t>
            </w:r>
          </w:p>
        </w:tc>
        <w:tc>
          <w:tcPr>
            <w:tcW w:w="6375" w:type="dxa"/>
            <w:tcBorders>
              <w:top w:val="outset" w:sz="6" w:space="0" w:color="auto"/>
              <w:left w:val="outset" w:sz="6" w:space="0" w:color="auto"/>
              <w:bottom w:val="outset" w:sz="6" w:space="0" w:color="auto"/>
              <w:right w:val="outset" w:sz="6" w:space="0" w:color="auto"/>
            </w:tcBorders>
            <w:shd w:val="clear" w:color="auto" w:fill="auto"/>
            <w:hideMark/>
          </w:tcPr>
          <w:p w14:paraId="391C880E"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“Many   critics of online degree programs have questioned the quality of the   education from online degree programs. However, elite universities, including   Stanford University, Massachusetts Institute of Technology, and Duke   University, have begun to offer online degree programs.”</w:t>
            </w:r>
          </w:p>
        </w:tc>
        <w:tc>
          <w:tcPr>
            <w:tcW w:w="6180" w:type="dxa"/>
            <w:tcBorders>
              <w:top w:val="outset" w:sz="6" w:space="0" w:color="auto"/>
              <w:left w:val="outset" w:sz="6" w:space="0" w:color="auto"/>
              <w:bottom w:val="outset" w:sz="6" w:space="0" w:color="auto"/>
              <w:right w:val="outset" w:sz="6" w:space="0" w:color="auto"/>
            </w:tcBorders>
            <w:shd w:val="clear" w:color="auto" w:fill="auto"/>
            <w:hideMark/>
          </w:tcPr>
          <w:p w14:paraId="169C4E44"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‘…employers   generally view degrees from schools specializing in online degree programs   with suspicion. Some employers even specify in their employment listings that   they are not interested in graduates from specific institutions that   specialize in online degree programs… Some online degree programs warrant   suspicion from potential employers because they are nothing more than degree   mills. Degree mills, offer individuals the opportunity to purchase degrees   rather than earn them.” </w:t>
            </w:r>
          </w:p>
        </w:tc>
      </w:tr>
      <w:tr w:rsidR="002E3CB4" w:rsidRPr="002E3CB4" w14:paraId="4D76033A" w14:textId="77777777" w:rsidTr="002E3CB4">
        <w:tc>
          <w:tcPr>
            <w:tcW w:w="2325" w:type="dxa"/>
            <w:tcBorders>
              <w:top w:val="outset" w:sz="6" w:space="0" w:color="auto"/>
              <w:left w:val="outset" w:sz="6" w:space="0" w:color="auto"/>
              <w:bottom w:val="outset" w:sz="6" w:space="0" w:color="auto"/>
              <w:right w:val="outset" w:sz="6" w:space="0" w:color="auto"/>
            </w:tcBorders>
            <w:shd w:val="clear" w:color="auto" w:fill="auto"/>
            <w:hideMark/>
          </w:tcPr>
          <w:p w14:paraId="3110026F"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b/>
                <w:bCs/>
                <w:color w:val="auto"/>
              </w:rPr>
              <w:t>Resources available to   students</w:t>
            </w:r>
          </w:p>
        </w:tc>
        <w:tc>
          <w:tcPr>
            <w:tcW w:w="6375" w:type="dxa"/>
            <w:tcBorders>
              <w:top w:val="outset" w:sz="6" w:space="0" w:color="auto"/>
              <w:left w:val="outset" w:sz="6" w:space="0" w:color="auto"/>
              <w:bottom w:val="outset" w:sz="6" w:space="0" w:color="auto"/>
              <w:right w:val="outset" w:sz="6" w:space="0" w:color="auto"/>
            </w:tcBorders>
            <w:shd w:val="clear" w:color="auto" w:fill="auto"/>
            <w:hideMark/>
          </w:tcPr>
          <w:p w14:paraId="4E3A37F6"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“These   programs also provide students with the same facilities and resources as a   full-time, campus-based student, including 24/7 support from a virtual   library staff.</w:t>
            </w:r>
          </w:p>
        </w:tc>
        <w:tc>
          <w:tcPr>
            <w:tcW w:w="6180" w:type="dxa"/>
            <w:tcBorders>
              <w:top w:val="outset" w:sz="6" w:space="0" w:color="auto"/>
              <w:left w:val="outset" w:sz="6" w:space="0" w:color="auto"/>
              <w:bottom w:val="outset" w:sz="6" w:space="0" w:color="auto"/>
              <w:right w:val="outset" w:sz="6" w:space="0" w:color="auto"/>
            </w:tcBorders>
            <w:shd w:val="clear" w:color="auto" w:fill="auto"/>
            <w:hideMark/>
          </w:tcPr>
          <w:p w14:paraId="2A81B7D4"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“Professors in traditional college settings are   expected to appear before their students during regularly scheduled classes,   direct classroom discussions, grade papers, and hold office hours. However,   in the environment of online learning, class sizes can become quite large and   instructors can be easily overwhelmed by the number of students who require   personalized feedback”</w:t>
            </w:r>
          </w:p>
        </w:tc>
      </w:tr>
      <w:tr w:rsidR="002E3CB4" w:rsidRPr="002E3CB4" w14:paraId="4148760E" w14:textId="77777777" w:rsidTr="002E3CB4">
        <w:tc>
          <w:tcPr>
            <w:tcW w:w="2325" w:type="dxa"/>
            <w:tcBorders>
              <w:top w:val="outset" w:sz="6" w:space="0" w:color="auto"/>
              <w:left w:val="outset" w:sz="6" w:space="0" w:color="auto"/>
              <w:bottom w:val="outset" w:sz="6" w:space="0" w:color="auto"/>
              <w:right w:val="outset" w:sz="6" w:space="0" w:color="auto"/>
            </w:tcBorders>
            <w:shd w:val="clear" w:color="auto" w:fill="auto"/>
            <w:hideMark/>
          </w:tcPr>
          <w:p w14:paraId="43669F49"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b/>
                <w:bCs/>
                <w:color w:val="auto"/>
              </w:rPr>
              <w:t>Online learning   environment</w:t>
            </w:r>
          </w:p>
        </w:tc>
        <w:tc>
          <w:tcPr>
            <w:tcW w:w="6375" w:type="dxa"/>
            <w:tcBorders>
              <w:top w:val="outset" w:sz="6" w:space="0" w:color="auto"/>
              <w:left w:val="outset" w:sz="6" w:space="0" w:color="auto"/>
              <w:bottom w:val="outset" w:sz="6" w:space="0" w:color="auto"/>
              <w:right w:val="outset" w:sz="6" w:space="0" w:color="auto"/>
            </w:tcBorders>
            <w:shd w:val="clear" w:color="auto" w:fill="auto"/>
            <w:hideMark/>
          </w:tcPr>
          <w:p w14:paraId="52F99DD8"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“Online   degree programs allow students to continue to work full time in order to gain   valuable, hands-on experience, while also allowing them to attend classes   from anywhere in the world. Working adults can continue at their jobs and   still devote the needed time to their families while earning a degree online.”</w:t>
            </w:r>
          </w:p>
        </w:tc>
        <w:tc>
          <w:tcPr>
            <w:tcW w:w="6180" w:type="dxa"/>
            <w:tcBorders>
              <w:top w:val="outset" w:sz="6" w:space="0" w:color="auto"/>
              <w:left w:val="outset" w:sz="6" w:space="0" w:color="auto"/>
              <w:bottom w:val="outset" w:sz="6" w:space="0" w:color="auto"/>
              <w:right w:val="outset" w:sz="6" w:space="0" w:color="auto"/>
            </w:tcBorders>
            <w:shd w:val="clear" w:color="auto" w:fill="auto"/>
            <w:hideMark/>
          </w:tcPr>
          <w:p w14:paraId="4D2937A4" w14:textId="77777777" w:rsidR="002E3CB4" w:rsidRPr="002E3CB4" w:rsidRDefault="002E3CB4" w:rsidP="002E3CB4">
            <w:pPr>
              <w:spacing w:after="100" w:afterAutospacing="1"/>
              <w:rPr>
                <w:rFonts w:eastAsia="Times New Roman" w:cs="Times New Roman"/>
                <w:color w:val="auto"/>
              </w:rPr>
            </w:pPr>
            <w:r w:rsidRPr="002E3CB4">
              <w:rPr>
                <w:rFonts w:eastAsia="Times New Roman" w:cs="Times New Roman"/>
                <w:color w:val="auto"/>
              </w:rPr>
              <w:t>“In addition, distractions around the study environment   can also be a factor. One of the benefits of classroom instruction is that it   is physically removed from the demands of the home. Students participating in   online learning may have difficulty carving out both the time and the space   to study. This carving may consist of competing with others for use of a   computer and finding time to focus on coursework in the midst of a busy   household.”</w:t>
            </w:r>
          </w:p>
        </w:tc>
      </w:tr>
    </w:tbl>
    <w:p w14:paraId="13E5CB02"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2)  Next, you want to </w:t>
      </w:r>
      <w:r w:rsidRPr="002E3CB4">
        <w:rPr>
          <w:rFonts w:ascii="Helvetica Neue" w:eastAsia="Times New Roman" w:hAnsi="Helvetica Neue" w:cs="Times New Roman"/>
          <w:b/>
          <w:bCs/>
          <w:color w:val="262626"/>
          <w:sz w:val="21"/>
          <w:szCs w:val="21"/>
        </w:rPr>
        <w:t>decide which authors you support</w:t>
      </w:r>
      <w:r w:rsidRPr="002E3CB4">
        <w:rPr>
          <w:rFonts w:ascii="Helvetica Neue" w:eastAsia="Times New Roman" w:hAnsi="Helvetica Neue" w:cs="Times New Roman"/>
          <w:color w:val="262626"/>
          <w:sz w:val="21"/>
          <w:szCs w:val="21"/>
        </w:rPr>
        <w:t xml:space="preserve">.  You do not have to be in full agreement with the authors on all of the points made, but you want to choose which one was more convincing </w:t>
      </w:r>
      <w:r w:rsidRPr="002E3CB4">
        <w:rPr>
          <w:rFonts w:ascii="Helvetica Neue" w:eastAsia="Times New Roman" w:hAnsi="Helvetica Neue" w:cs="Times New Roman"/>
          <w:color w:val="262626"/>
          <w:sz w:val="21"/>
          <w:szCs w:val="21"/>
        </w:rPr>
        <w:lastRenderedPageBreak/>
        <w:t>to you.  Who made the stronger argument?  Who had more convincing evidence?  When you decide, you will want to </w:t>
      </w:r>
      <w:r w:rsidRPr="002E3CB4">
        <w:rPr>
          <w:rFonts w:ascii="Helvetica Neue" w:eastAsia="Times New Roman" w:hAnsi="Helvetica Neue" w:cs="Times New Roman"/>
          <w:b/>
          <w:bCs/>
          <w:color w:val="262626"/>
          <w:sz w:val="21"/>
          <w:szCs w:val="21"/>
        </w:rPr>
        <w:t>create a thesis statement</w:t>
      </w:r>
      <w:r w:rsidRPr="002E3CB4">
        <w:rPr>
          <w:rFonts w:ascii="Helvetica Neue" w:eastAsia="Times New Roman" w:hAnsi="Helvetica Neue" w:cs="Times New Roman"/>
          <w:color w:val="262626"/>
          <w:sz w:val="21"/>
          <w:szCs w:val="21"/>
        </w:rPr>
        <w:t>.  The examples below present thesis statements of concession- verifying a truth about a subject but still stating why the reader should favor the position- and contrast-showing difference between the two points of view.  Some examples of subordinating conjunctions to use when creating sentences of concession are as follows: although, even though and though.  Some examples for subordinating conjunctions to use when creating sentences of contrast are as follows: while, whereas, or unlike.  Depending upon your beliefs, either presentation is acceptable, as long as your opinion is clearly stated.</w:t>
      </w:r>
    </w:p>
    <w:p w14:paraId="71A9CFFC"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b/>
          <w:bCs/>
          <w:color w:val="262626"/>
          <w:sz w:val="21"/>
          <w:szCs w:val="21"/>
        </w:rPr>
        <w:t>Concession- In favor of </w:t>
      </w:r>
      <w:r w:rsidRPr="002E3CB4">
        <w:rPr>
          <w:rFonts w:ascii="Helvetica Neue" w:eastAsia="Times New Roman" w:hAnsi="Helvetica Neue" w:cs="Times New Roman"/>
          <w:color w:val="262626"/>
          <w:sz w:val="21"/>
          <w:szCs w:val="21"/>
        </w:rPr>
        <w:t>- Although Tucker and Cook make a compelling argument in favor of online course instruction, Chittom and McMahon offer a more realistic view when questioning the credibility of these programs.</w:t>
      </w:r>
    </w:p>
    <w:p w14:paraId="1A9CE299"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b/>
          <w:bCs/>
          <w:color w:val="262626"/>
          <w:sz w:val="21"/>
          <w:szCs w:val="21"/>
        </w:rPr>
        <w:t>Contrast- In favor of </w:t>
      </w:r>
      <w:r w:rsidRPr="002E3CB4">
        <w:rPr>
          <w:rFonts w:ascii="Helvetica Neue" w:eastAsia="Times New Roman" w:hAnsi="Helvetica Neue" w:cs="Times New Roman"/>
          <w:color w:val="262626"/>
          <w:sz w:val="21"/>
          <w:szCs w:val="21"/>
        </w:rPr>
        <w:t>- Unlike Chittom and McMahon who do not consider the argument for the need for affordable and flexible degree programs, Tucker and Cook make a stronger argument that a population seeking these types of degree programs exist on a large scale.</w:t>
      </w:r>
    </w:p>
    <w:p w14:paraId="0FADB85D"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3) </w:t>
      </w:r>
      <w:r w:rsidRPr="002E3CB4">
        <w:rPr>
          <w:rFonts w:ascii="Helvetica Neue" w:eastAsia="Times New Roman" w:hAnsi="Helvetica Neue" w:cs="Times New Roman"/>
          <w:b/>
          <w:bCs/>
          <w:color w:val="262626"/>
          <w:sz w:val="21"/>
          <w:szCs w:val="21"/>
        </w:rPr>
        <w:t>Create your outline</w:t>
      </w:r>
      <w:r w:rsidRPr="002E3CB4">
        <w:rPr>
          <w:rFonts w:ascii="Helvetica Neue" w:eastAsia="Times New Roman" w:hAnsi="Helvetica Neue" w:cs="Times New Roman"/>
          <w:color w:val="262626"/>
          <w:sz w:val="21"/>
          <w:szCs w:val="21"/>
        </w:rPr>
        <w:t> to help define the organizational structure for the paper.  This will help you to decide which points you want to address and where to address each in the essay.    Use the template provided in the 3</w:t>
      </w:r>
      <w:r w:rsidRPr="002E3CB4">
        <w:rPr>
          <w:rFonts w:ascii="Helvetica Neue" w:eastAsia="Times New Roman" w:hAnsi="Helvetica Neue" w:cs="Times New Roman"/>
          <w:color w:val="262626"/>
          <w:sz w:val="16"/>
          <w:szCs w:val="16"/>
          <w:vertAlign w:val="superscript"/>
        </w:rPr>
        <w:t>rd</w:t>
      </w:r>
      <w:r w:rsidRPr="002E3CB4">
        <w:rPr>
          <w:rFonts w:ascii="Helvetica Neue" w:eastAsia="Times New Roman" w:hAnsi="Helvetica Neue" w:cs="Times New Roman"/>
          <w:color w:val="262626"/>
          <w:sz w:val="21"/>
          <w:szCs w:val="21"/>
        </w:rPr>
        <w:t> paper assignment as a guideline to writing your outline.</w:t>
      </w:r>
    </w:p>
    <w:p w14:paraId="168684C8"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4) When you decide which authors make the better argument, be sure to </w:t>
      </w:r>
      <w:r w:rsidRPr="002E3CB4">
        <w:rPr>
          <w:rFonts w:ascii="Helvetica Neue" w:eastAsia="Times New Roman" w:hAnsi="Helvetica Neue" w:cs="Times New Roman"/>
          <w:b/>
          <w:bCs/>
          <w:color w:val="262626"/>
          <w:sz w:val="21"/>
          <w:szCs w:val="21"/>
        </w:rPr>
        <w:t>emphasize your position in the topic sentence as you contrast each point</w:t>
      </w:r>
      <w:r w:rsidRPr="002E3CB4">
        <w:rPr>
          <w:rFonts w:ascii="Helvetica Neue" w:eastAsia="Times New Roman" w:hAnsi="Helvetica Neue" w:cs="Times New Roman"/>
          <w:color w:val="262626"/>
          <w:sz w:val="21"/>
          <w:szCs w:val="21"/>
        </w:rPr>
        <w:t>.  When you use a subordinating conjunction in a sentence, the </w:t>
      </w:r>
      <w:r w:rsidRPr="002E3CB4">
        <w:rPr>
          <w:rFonts w:ascii="Helvetica Neue" w:eastAsia="Times New Roman" w:hAnsi="Helvetica Neue" w:cs="Times New Roman"/>
          <w:b/>
          <w:bCs/>
          <w:color w:val="262626"/>
          <w:sz w:val="21"/>
          <w:szCs w:val="21"/>
        </w:rPr>
        <w:t>clause that follows the conjunction is deemphasized or unstressed</w:t>
      </w:r>
      <w:r w:rsidRPr="002E3CB4">
        <w:rPr>
          <w:rFonts w:ascii="Helvetica Neue" w:eastAsia="Times New Roman" w:hAnsi="Helvetica Neue" w:cs="Times New Roman"/>
          <w:color w:val="262626"/>
          <w:sz w:val="21"/>
          <w:szCs w:val="21"/>
        </w:rPr>
        <w:t>.  See the example below for further explanation.</w:t>
      </w:r>
    </w:p>
    <w:p w14:paraId="41A09A96"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b/>
          <w:bCs/>
          <w:color w:val="262626"/>
          <w:sz w:val="21"/>
          <w:szCs w:val="21"/>
        </w:rPr>
        <w:t>Example-emphasis on second clause of sentence:</w:t>
      </w:r>
      <w:r w:rsidRPr="002E3CB4">
        <w:rPr>
          <w:rFonts w:ascii="Helvetica Neue" w:eastAsia="Times New Roman" w:hAnsi="Helvetica Neue" w:cs="Times New Roman"/>
          <w:color w:val="262626"/>
          <w:sz w:val="21"/>
          <w:szCs w:val="21"/>
        </w:rPr>
        <w:t> Although Tucker and Cook make a compelling argument in favor of online course instruction, Chittom and McMahon offer a more realistic view when questioning the credibility of these programs.</w:t>
      </w:r>
    </w:p>
    <w:p w14:paraId="49575398"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You will notice the conjunction "although" begins the phrase and position I </w:t>
      </w:r>
      <w:r w:rsidRPr="002E3CB4">
        <w:rPr>
          <w:rFonts w:ascii="Helvetica Neue" w:eastAsia="Times New Roman" w:hAnsi="Helvetica Neue" w:cs="Times New Roman"/>
          <w:b/>
          <w:bCs/>
          <w:color w:val="262626"/>
          <w:sz w:val="21"/>
          <w:szCs w:val="21"/>
        </w:rPr>
        <w:t>do not</w:t>
      </w:r>
      <w:r w:rsidRPr="002E3CB4">
        <w:rPr>
          <w:rFonts w:ascii="Helvetica Neue" w:eastAsia="Times New Roman" w:hAnsi="Helvetica Neue" w:cs="Times New Roman"/>
          <w:color w:val="262626"/>
          <w:sz w:val="21"/>
          <w:szCs w:val="21"/>
        </w:rPr>
        <w:t> want to emphasize.  I am making a concession to some of Tucker and Cook’s argument, but I am emphasizing and in stronger agreement with Chittom and McMahon’s point </w:t>
      </w:r>
    </w:p>
    <w:p w14:paraId="362EC5A9"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5) Finally, </w:t>
      </w:r>
      <w:r w:rsidRPr="002E3CB4">
        <w:rPr>
          <w:rFonts w:ascii="Helvetica Neue" w:eastAsia="Times New Roman" w:hAnsi="Helvetica Neue" w:cs="Times New Roman"/>
          <w:b/>
          <w:bCs/>
          <w:color w:val="262626"/>
          <w:sz w:val="21"/>
          <w:szCs w:val="21"/>
        </w:rPr>
        <w:t>include specific quotes from both essays</w:t>
      </w:r>
      <w:r w:rsidRPr="002E3CB4">
        <w:rPr>
          <w:rFonts w:ascii="Helvetica Neue" w:eastAsia="Times New Roman" w:hAnsi="Helvetica Neue" w:cs="Times New Roman"/>
          <w:color w:val="262626"/>
          <w:sz w:val="21"/>
          <w:szCs w:val="21"/>
        </w:rPr>
        <w:t> that demonstrate the authors’ perspective on the contrast point.  If you refer back to the first page of this handout, I created a table with quotes from the authors to represent their viewpoints for each topic of contrast discussed.  I would introduce these quotes within the paragraph and follow each with commentary and additional examples to reinforce my topic sentence.  Once that paragraph is completed, I can begin to think of a new transition sentence to demonstrate my next point of contrast.</w:t>
      </w:r>
    </w:p>
    <w:p w14:paraId="3B61BD43" w14:textId="77777777" w:rsidR="002E3CB4" w:rsidRPr="002E3CB4" w:rsidRDefault="002E3CB4" w:rsidP="002E3CB4">
      <w:pPr>
        <w:shd w:val="clear" w:color="auto" w:fill="FFFFFF"/>
        <w:spacing w:after="100" w:afterAutospacing="1"/>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 </w:t>
      </w:r>
    </w:p>
    <w:p w14:paraId="2FA67727" w14:textId="77777777" w:rsidR="002E3CB4" w:rsidRPr="002E3CB4" w:rsidRDefault="002E3CB4" w:rsidP="002E3CB4">
      <w:pPr>
        <w:shd w:val="clear" w:color="auto" w:fill="FFFFFF"/>
        <w:rPr>
          <w:rFonts w:ascii="Helvetica Neue" w:eastAsia="Times New Roman" w:hAnsi="Helvetica Neue" w:cs="Times New Roman"/>
          <w:color w:val="262626"/>
          <w:sz w:val="21"/>
          <w:szCs w:val="21"/>
        </w:rPr>
      </w:pPr>
      <w:r w:rsidRPr="002E3CB4">
        <w:rPr>
          <w:rFonts w:ascii="Helvetica Neue" w:eastAsia="Times New Roman" w:hAnsi="Helvetica Neue" w:cs="Times New Roman"/>
          <w:color w:val="262626"/>
          <w:sz w:val="21"/>
          <w:szCs w:val="21"/>
        </w:rPr>
        <w:t>Last modified: Monday, August 1, 2016, 12:41 AM</w:t>
      </w:r>
    </w:p>
    <w:p w14:paraId="2035D568" w14:textId="77777777" w:rsidR="002E3CB4" w:rsidRPr="002E3CB4" w:rsidRDefault="002E3CB4" w:rsidP="002E3CB4">
      <w:pPr>
        <w:shd w:val="clear" w:color="auto" w:fill="FFFFFF"/>
        <w:rPr>
          <w:rFonts w:ascii="Helvetica Neue" w:eastAsia="Times New Roman" w:hAnsi="Helvetica Neue" w:cs="Times New Roman"/>
          <w:color w:val="262626"/>
          <w:sz w:val="21"/>
          <w:szCs w:val="21"/>
        </w:rPr>
      </w:pPr>
    </w:p>
    <w:p w14:paraId="4C48C023" w14:textId="77777777" w:rsidR="00387CD1" w:rsidRDefault="002E3CB4">
      <w:bookmarkStart w:id="0" w:name="_GoBack"/>
      <w:bookmarkEnd w:id="0"/>
    </w:p>
    <w:sectPr w:rsidR="00387CD1" w:rsidSect="00957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B4"/>
    <w:rsid w:val="002E3CB4"/>
    <w:rsid w:val="006E3926"/>
    <w:rsid w:val="008479A5"/>
    <w:rsid w:val="0095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0C4F1F"/>
  <w15:chartTrackingRefBased/>
  <w15:docId w15:val="{3699B6D9-E4A0-CA43-93B8-3B40D518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E3CB4"/>
    <w:pPr>
      <w:spacing w:before="100" w:beforeAutospacing="1" w:after="100" w:afterAutospacing="1"/>
      <w:outlineLvl w:val="1"/>
    </w:pPr>
    <w:rPr>
      <w:rFonts w:eastAsia="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3CB4"/>
    <w:rPr>
      <w:rFonts w:eastAsia="Times New Roman" w:cs="Times New Roman"/>
      <w:b/>
      <w:bCs/>
      <w:color w:val="auto"/>
      <w:sz w:val="36"/>
      <w:szCs w:val="36"/>
    </w:rPr>
  </w:style>
  <w:style w:type="paragraph" w:styleId="NormalWeb">
    <w:name w:val="Normal (Web)"/>
    <w:basedOn w:val="Normal"/>
    <w:uiPriority w:val="99"/>
    <w:semiHidden/>
    <w:unhideWhenUsed/>
    <w:rsid w:val="002E3CB4"/>
    <w:pPr>
      <w:spacing w:before="100" w:beforeAutospacing="1" w:after="100" w:afterAutospacing="1"/>
    </w:pPr>
    <w:rPr>
      <w:rFonts w:eastAsia="Times New Roman" w:cs="Times New Roman"/>
      <w:color w:val="auto"/>
    </w:rPr>
  </w:style>
  <w:style w:type="character" w:customStyle="1" w:styleId="apple-converted-space">
    <w:name w:val="apple-converted-space"/>
    <w:basedOn w:val="DefaultParagraphFont"/>
    <w:rsid w:val="002E3CB4"/>
  </w:style>
  <w:style w:type="paragraph" w:customStyle="1" w:styleId="default">
    <w:name w:val="default"/>
    <w:basedOn w:val="Normal"/>
    <w:rsid w:val="002E3CB4"/>
    <w:pPr>
      <w:spacing w:before="100" w:beforeAutospacing="1" w:after="100" w:afterAutospacing="1"/>
    </w:pPr>
    <w:rPr>
      <w:rFonts w:eastAsia="Times New Roman" w:cs="Times New Roman"/>
      <w:color w:val="auto"/>
    </w:rPr>
  </w:style>
  <w:style w:type="character" w:styleId="Strong">
    <w:name w:val="Strong"/>
    <w:basedOn w:val="DefaultParagraphFont"/>
    <w:uiPriority w:val="22"/>
    <w:qFormat/>
    <w:rsid w:val="002E3C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725572">
      <w:bodyDiv w:val="1"/>
      <w:marLeft w:val="0"/>
      <w:marRight w:val="0"/>
      <w:marTop w:val="0"/>
      <w:marBottom w:val="0"/>
      <w:divBdr>
        <w:top w:val="none" w:sz="0" w:space="0" w:color="auto"/>
        <w:left w:val="none" w:sz="0" w:space="0" w:color="auto"/>
        <w:bottom w:val="none" w:sz="0" w:space="0" w:color="auto"/>
        <w:right w:val="none" w:sz="0" w:space="0" w:color="auto"/>
      </w:divBdr>
      <w:divsChild>
        <w:div w:id="1377969091">
          <w:marLeft w:val="0"/>
          <w:marRight w:val="0"/>
          <w:marTop w:val="0"/>
          <w:marBottom w:val="0"/>
          <w:divBdr>
            <w:top w:val="none" w:sz="0" w:space="0" w:color="auto"/>
            <w:left w:val="none" w:sz="0" w:space="0" w:color="auto"/>
            <w:bottom w:val="none" w:sz="0" w:space="0" w:color="auto"/>
            <w:right w:val="none" w:sz="0" w:space="0" w:color="auto"/>
          </w:divBdr>
          <w:divsChild>
            <w:div w:id="1071733895">
              <w:marLeft w:val="0"/>
              <w:marRight w:val="0"/>
              <w:marTop w:val="0"/>
              <w:marBottom w:val="0"/>
              <w:divBdr>
                <w:top w:val="none" w:sz="0" w:space="0" w:color="auto"/>
                <w:left w:val="none" w:sz="0" w:space="0" w:color="auto"/>
                <w:bottom w:val="none" w:sz="0" w:space="0" w:color="auto"/>
                <w:right w:val="none" w:sz="0" w:space="0" w:color="auto"/>
              </w:divBdr>
              <w:divsChild>
                <w:div w:id="290089583">
                  <w:marLeft w:val="0"/>
                  <w:marRight w:val="0"/>
                  <w:marTop w:val="0"/>
                  <w:marBottom w:val="0"/>
                  <w:divBdr>
                    <w:top w:val="none" w:sz="0" w:space="0" w:color="auto"/>
                    <w:left w:val="none" w:sz="0" w:space="0" w:color="auto"/>
                    <w:bottom w:val="none" w:sz="0" w:space="0" w:color="auto"/>
                    <w:right w:val="none" w:sz="0" w:space="0" w:color="auto"/>
                  </w:divBdr>
                </w:div>
              </w:divsChild>
            </w:div>
            <w:div w:id="1489518919">
              <w:marLeft w:val="0"/>
              <w:marRight w:val="0"/>
              <w:marTop w:val="0"/>
              <w:marBottom w:val="0"/>
              <w:divBdr>
                <w:top w:val="none" w:sz="0" w:space="0" w:color="auto"/>
                <w:left w:val="none" w:sz="0" w:space="0" w:color="auto"/>
                <w:bottom w:val="none" w:sz="0" w:space="0" w:color="auto"/>
                <w:right w:val="none" w:sz="0" w:space="0" w:color="auto"/>
              </w:divBdr>
            </w:div>
          </w:divsChild>
        </w:div>
        <w:div w:id="627396807">
          <w:marLeft w:val="0"/>
          <w:marRight w:val="0"/>
          <w:marTop w:val="0"/>
          <w:marBottom w:val="0"/>
          <w:divBdr>
            <w:top w:val="none" w:sz="0" w:space="0" w:color="auto"/>
            <w:left w:val="none" w:sz="0" w:space="0" w:color="auto"/>
            <w:bottom w:val="none" w:sz="0" w:space="0" w:color="auto"/>
            <w:right w:val="none" w:sz="0" w:space="0" w:color="auto"/>
          </w:divBdr>
          <w:divsChild>
            <w:div w:id="60560400">
              <w:marLeft w:val="-225"/>
              <w:marRight w:val="-225"/>
              <w:marTop w:val="0"/>
              <w:marBottom w:val="0"/>
              <w:divBdr>
                <w:top w:val="none" w:sz="0" w:space="0" w:color="auto"/>
                <w:left w:val="none" w:sz="0" w:space="0" w:color="auto"/>
                <w:bottom w:val="none" w:sz="0" w:space="0" w:color="auto"/>
                <w:right w:val="none" w:sz="0" w:space="0" w:color="auto"/>
              </w:divBdr>
              <w:divsChild>
                <w:div w:id="20640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945</Words>
  <Characters>5388</Characters>
  <Application>Microsoft Office Word</Application>
  <DocSecurity>0</DocSecurity>
  <Lines>44</Lines>
  <Paragraphs>12</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Dormainville</dc:creator>
  <cp:keywords/>
  <dc:description/>
  <cp:lastModifiedBy>Marvin Dormainville</cp:lastModifiedBy>
  <cp:revision>1</cp:revision>
  <dcterms:created xsi:type="dcterms:W3CDTF">2018-11-06T18:57:00Z</dcterms:created>
  <dcterms:modified xsi:type="dcterms:W3CDTF">2018-11-06T18:57:00Z</dcterms:modified>
</cp:coreProperties>
</file>